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857" w:type="dxa"/>
        <w:tblInd w:w="0" w:type="dxa"/>
        <w:tblLayout w:type="autofit"/>
        <w:tblCellMar>
          <w:top w:w="0" w:type="dxa"/>
          <w:left w:w="108" w:type="dxa"/>
          <w:bottom w:w="0" w:type="dxa"/>
          <w:right w:w="108" w:type="dxa"/>
        </w:tblCellMar>
      </w:tblPr>
      <w:tblGrid>
        <w:gridCol w:w="1588"/>
        <w:gridCol w:w="1531"/>
        <w:gridCol w:w="1449"/>
        <w:gridCol w:w="851"/>
        <w:gridCol w:w="850"/>
        <w:gridCol w:w="851"/>
        <w:gridCol w:w="850"/>
        <w:gridCol w:w="6887"/>
      </w:tblGrid>
      <w:tr>
        <w:tblPrEx>
          <w:tblCellMar>
            <w:top w:w="0" w:type="dxa"/>
            <w:left w:w="108" w:type="dxa"/>
            <w:bottom w:w="0" w:type="dxa"/>
            <w:right w:w="108" w:type="dxa"/>
          </w:tblCellMar>
        </w:tblPrEx>
        <w:trPr>
          <w:trHeight w:val="852" w:hRule="atLeast"/>
        </w:trPr>
        <w:tc>
          <w:tcPr>
            <w:tcW w:w="14857" w:type="dxa"/>
            <w:gridSpan w:val="8"/>
            <w:tcBorders>
              <w:top w:val="nil"/>
              <w:left w:val="nil"/>
              <w:bottom w:val="nil"/>
              <w:right w:val="nil"/>
            </w:tcBorders>
            <w:shd w:val="clear" w:color="auto" w:fill="auto"/>
            <w:noWrap/>
            <w:vAlign w:val="bottom"/>
          </w:tcPr>
          <w:p>
            <w:pPr>
              <w:jc w:val="left"/>
              <w:rPr>
                <w:b/>
                <w:bCs/>
              </w:rPr>
            </w:pPr>
            <w:r>
              <w:rPr>
                <w:rFonts w:hint="eastAsia"/>
                <w:b/>
                <w:bCs/>
              </w:rPr>
              <w:t>附件</w:t>
            </w:r>
            <w:r>
              <w:rPr>
                <w:b/>
                <w:bCs/>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0</wp:posOffset>
                      </wp:positionV>
                      <wp:extent cx="742950" cy="9525"/>
                      <wp:effectExtent l="0" t="0" r="0" b="0"/>
                      <wp:wrapNone/>
                      <wp:docPr id="2" name="椭圆 6"/>
                      <wp:cNvGraphicFramePr/>
                      <a:graphic xmlns:a="http://schemas.openxmlformats.org/drawingml/2006/main">
                        <a:graphicData uri="http://schemas.microsoft.com/office/word/2010/wordprocessingShape">
                          <wps:wsp>
                            <wps:cNvSpPr>
                              <a:spLocks noChangeArrowheads="1"/>
                            </wps:cNvSpPr>
                            <wps:spPr>
                              <a:xfrm>
                                <a:off x="0" y="0"/>
                                <a:ext cx="742950" cy="9525"/>
                              </a:xfrm>
                              <a:prstGeom prst="ellipse">
                                <a:avLst/>
                              </a:prstGeom>
                              <a:solidFill>
                                <a:srgbClr val="FFFFFF"/>
                              </a:solidFill>
                              <a:ln w="9525" cmpd="sng">
                                <a:noFill/>
                                <a:round/>
                              </a:ln>
                            </wps:spPr>
                            <wps:txbx>
                              <w:txbxContent>
                                <w:p>
                                  <w:pPr>
                                    <w:textAlignment w:val="baseline"/>
                                    <w:rPr>
                                      <w:b/>
                                      <w:bCs/>
                                      <w:color w:val="000000"/>
                                      <w:kern w:val="0"/>
                                      <w:sz w:val="20"/>
                                      <w:szCs w:val="20"/>
                                    </w:rPr>
                                  </w:pPr>
                                  <w:r>
                                    <w:rPr>
                                      <w:rFonts w:hint="eastAsia"/>
                                      <w:b/>
                                      <w:bCs/>
                                      <w:color w:val="000000"/>
                                      <w:sz w:val="20"/>
                                      <w:szCs w:val="20"/>
                                    </w:rPr>
                                    <w:t>项目</w:t>
                                  </w:r>
                                </w:p>
                              </w:txbxContent>
                            </wps:txbx>
                            <wps:bodyPr vertOverflow="clip" wrap="square" lIns="27432" tIns="18288" rIns="0" bIns="0" anchor="t" upright="1"/>
                          </wps:wsp>
                        </a:graphicData>
                      </a:graphic>
                    </wp:anchor>
                  </w:drawing>
                </mc:Choice>
                <mc:Fallback>
                  <w:pict>
                    <v:shape id="椭圆 6" o:spid="_x0000_s1026" o:spt="3" type="#_x0000_t3" style="position:absolute;left:0pt;margin-left:76.5pt;margin-top:0pt;height:0.75pt;width:58.5pt;z-index:251659264;mso-width-relative:page;mso-height-relative:page;" fillcolor="#FFFFFF" filled="t" stroked="f" coordsize="21600,21600" o:gfxdata="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BXl71AAAAAYBAAAPAAAAAAAA&#10;AAEAIAAAACIAAABkcnMvZG93bnJldi54bWxQSwECFAAUAAAACACHTuJAeYdwBxYCAAARBAAADgAA&#10;AAAAAAABACAAAAAjAQAAZHJzL2Uyb0RvYy54bWxQSwUGAAAAAAYABgBZAQAAqwUAAAAA&#10;">
                      <v:fill on="t" focussize="0,0"/>
                      <v:stroke on="f" joinstyle="round"/>
                      <v:imagedata o:title=""/>
                      <o:lock v:ext="edit" aspectratio="f"/>
                      <v:textbox inset="0.762mm,0.508mm,0mm,0mm">
                        <w:txbxContent>
                          <w:p>
                            <w:pPr>
                              <w:textAlignment w:val="baseline"/>
                              <w:rPr>
                                <w:b/>
                                <w:bCs/>
                                <w:color w:val="000000"/>
                                <w:kern w:val="0"/>
                                <w:sz w:val="20"/>
                                <w:szCs w:val="20"/>
                              </w:rPr>
                            </w:pPr>
                            <w:r>
                              <w:rPr>
                                <w:rFonts w:hint="eastAsia"/>
                                <w:b/>
                                <w:bCs/>
                                <w:color w:val="000000"/>
                                <w:sz w:val="20"/>
                                <w:szCs w:val="20"/>
                              </w:rPr>
                              <w:t>项目</w:t>
                            </w:r>
                          </w:p>
                        </w:txbxContent>
                      </v:textbox>
                    </v:shape>
                  </w:pict>
                </mc:Fallback>
              </mc:AlternateContent>
            </w:r>
            <w:r>
              <w:rPr>
                <w:b/>
                <w:bCs/>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0</wp:posOffset>
                      </wp:positionV>
                      <wp:extent cx="0" cy="9525"/>
                      <wp:effectExtent l="0" t="0" r="0" b="0"/>
                      <wp:wrapNone/>
                      <wp:docPr id="3" name="椭圆 5"/>
                      <wp:cNvGraphicFramePr/>
                      <a:graphic xmlns:a="http://schemas.openxmlformats.org/drawingml/2006/main">
                        <a:graphicData uri="http://schemas.microsoft.com/office/word/2010/wordprocessingShape">
                          <wps:wsp>
                            <wps:cNvSpPr>
                              <a:spLocks noChangeArrowheads="1"/>
                            </wps:cNvSpPr>
                            <wps:spPr>
                              <a:xfrm>
                                <a:off x="0" y="0"/>
                                <a:ext cx="0" cy="9525"/>
                              </a:xfrm>
                              <a:prstGeom prst="ellipse">
                                <a:avLst/>
                              </a:prstGeom>
                              <a:solidFill>
                                <a:srgbClr val="FFFFFF"/>
                              </a:solidFill>
                              <a:ln w="9525" cmpd="sng">
                                <a:noFill/>
                                <a:round/>
                              </a:ln>
                            </wps:spPr>
                            <wps:txbx>
                              <w:txbxContent>
                                <w:p>
                                  <w:r>
                                    <w:rPr>
                                      <w:rFonts w:hint="eastAsia"/>
                                      <w:b/>
                                      <w:bCs/>
                                      <w:color w:val="000000"/>
                                      <w:sz w:val="20"/>
                                      <w:szCs w:val="20"/>
                                    </w:rPr>
                                    <w:t>分组</w:t>
                                  </w:r>
                                  <w:r>
                                    <w:t xml:space="preserve"> </w:t>
                                  </w:r>
                                </w:p>
                              </w:txbxContent>
                            </wps:txbx>
                            <wps:bodyPr vertOverflow="clip" wrap="square" lIns="27432" tIns="18288" rIns="0" bIns="0" anchor="t" upright="1"/>
                          </wps:wsp>
                        </a:graphicData>
                      </a:graphic>
                    </wp:anchor>
                  </w:drawing>
                </mc:Choice>
                <mc:Fallback>
                  <w:pict>
                    <v:shape id="椭圆 5" o:spid="_x0000_s1026" o:spt="3" type="#_x0000_t3" style="position:absolute;left:0pt;margin-left:105.75pt;margin-top:0pt;height:0.75pt;width:0pt;z-index:251660288;mso-width-relative:page;mso-height-relative:page;" fillcolor="#FFFFFF" filled="t" stroked="f" coordsize="21600,21600" o:gfxdata="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1kLwPSAAAABgEAAA8AAAAAAAAAAQAgAAAA&#10;IgAAAGRycy9kb3ducmV2LnhtbFBLAQIUABQAAAAIAIdO4kAEdhe6EQIAAAwEAAAOAAAAAAAAAAEA&#10;IAAAACEBAABkcnMvZTJvRG9jLnhtbFBLBQYAAAAABgAGAFkBAACkBQAAAAA=&#10;">
                      <v:fill on="t" focussize="0,0"/>
                      <v:stroke on="f" joinstyle="round"/>
                      <v:imagedata o:title=""/>
                      <o:lock v:ext="edit" aspectratio="f"/>
                      <v:textbox inset="0.762mm,0.508mm,0mm,0mm">
                        <w:txbxContent>
                          <w:p>
                            <w:r>
                              <w:rPr>
                                <w:rFonts w:hint="eastAsia"/>
                                <w:b/>
                                <w:bCs/>
                                <w:color w:val="000000"/>
                                <w:sz w:val="20"/>
                                <w:szCs w:val="20"/>
                              </w:rPr>
                              <w:t>分组</w:t>
                            </w:r>
                            <w:r>
                              <w:t xml:space="preserve"> </w:t>
                            </w:r>
                          </w:p>
                        </w:txbxContent>
                      </v:textbox>
                    </v:shape>
                  </w:pict>
                </mc:Fallback>
              </mc:AlternateContent>
            </w:r>
            <w:r>
              <w:rPr>
                <w:b/>
                <w:bCs/>
              </w:rPr>
              <w:drawing>
                <wp:anchor distT="0" distB="0" distL="114300" distR="114300" simplePos="0" relativeHeight="251661312" behindDoc="0" locked="0" layoutInCell="1" allowOverlap="1">
                  <wp:simplePos x="0" y="0"/>
                  <wp:positionH relativeFrom="column">
                    <wp:posOffset>990600</wp:posOffset>
                  </wp:positionH>
                  <wp:positionV relativeFrom="paragraph">
                    <wp:posOffset>0</wp:posOffset>
                  </wp:positionV>
                  <wp:extent cx="0" cy="9525"/>
                  <wp:effectExtent l="0" t="0" r="0" b="0"/>
                  <wp:wrapNone/>
                  <wp:docPr id="49366" name="图片 4" descr="普惠文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6" name="图片 4" descr="普惠文挡"/>
                          <pic:cNvPicPr>
                            <a:picLocks noChangeAspect="1" noChangeArrowheads="1"/>
                          </pic:cNvPicPr>
                        </pic:nvPicPr>
                        <pic:blipFill>
                          <a:blip r:embed="rId4">
                            <a:extLst>
                              <a:ext uri="{28A0092B-C50C-407E-A947-70E740481C1C}">
                                <a14:useLocalDpi xmlns:a14="http://schemas.microsoft.com/office/drawing/2010/main" val="0"/>
                              </a:ext>
                            </a:extLst>
                          </a:blip>
                          <a:srcRect r="52835" b="-5000"/>
                          <a:stretch>
                            <a:fillRect/>
                          </a:stretch>
                        </pic:blipFill>
                        <pic:spPr>
                          <a:xfrm>
                            <a:off x="0" y="0"/>
                            <a:ext cx="0" cy="9525"/>
                          </a:xfrm>
                          <a:prstGeom prst="rect">
                            <a:avLst/>
                          </a:prstGeom>
                          <a:noFill/>
                          <a:ln>
                            <a:noFill/>
                          </a:ln>
                        </pic:spPr>
                      </pic:pic>
                    </a:graphicData>
                  </a:graphic>
                </wp:anchor>
              </w:drawing>
            </w:r>
            <w:r>
              <w:rPr>
                <w:rFonts w:hint="eastAsia"/>
                <w:b/>
                <w:bCs/>
              </w:rPr>
              <w:t>2：</w:t>
            </w:r>
          </w:p>
          <w:tbl>
            <w:tblPr>
              <w:tblStyle w:val="2"/>
              <w:tblW w:w="0" w:type="auto"/>
              <w:tblCellSpacing w:w="0" w:type="dxa"/>
              <w:tblInd w:w="0" w:type="dxa"/>
              <w:tblLayout w:type="autofit"/>
              <w:tblCellMar>
                <w:top w:w="0" w:type="dxa"/>
                <w:left w:w="0" w:type="dxa"/>
                <w:bottom w:w="0" w:type="dxa"/>
                <w:right w:w="0" w:type="dxa"/>
              </w:tblCellMar>
            </w:tblPr>
            <w:tblGrid>
              <w:gridCol w:w="13211"/>
            </w:tblGrid>
            <w:tr>
              <w:tblPrEx>
                <w:tblCellMar>
                  <w:top w:w="0" w:type="dxa"/>
                  <w:left w:w="0" w:type="dxa"/>
                  <w:bottom w:w="0" w:type="dxa"/>
                  <w:right w:w="0" w:type="dxa"/>
                </w:tblCellMar>
              </w:tblPrEx>
              <w:trPr>
                <w:trHeight w:val="852" w:hRule="atLeast"/>
                <w:tblCellSpacing w:w="0" w:type="dxa"/>
              </w:trPr>
              <w:tc>
                <w:tcPr>
                  <w:tcW w:w="13211"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6"/>
                      <w:szCs w:val="36"/>
                    </w:rPr>
                  </w:pPr>
                  <w:bookmarkStart w:id="0" w:name="_GoBack"/>
                  <w:r>
                    <w:rPr>
                      <w:rFonts w:hint="eastAsia" w:ascii="宋体" w:hAnsi="宋体" w:eastAsia="宋体" w:cs="宋体"/>
                      <w:b/>
                      <w:bCs/>
                      <w:kern w:val="0"/>
                      <w:sz w:val="36"/>
                      <w:szCs w:val="36"/>
                    </w:rPr>
                    <w:t>陕西科技大学镐京学院2023年教工健康体检项目及报价单</w:t>
                  </w:r>
                  <w:bookmarkEnd w:id="0"/>
                </w:p>
              </w:tc>
            </w:tr>
          </w:tbl>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43" w:hRule="atLeast"/>
        </w:trPr>
        <w:tc>
          <w:tcPr>
            <w:tcW w:w="1485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FF0000"/>
                <w:kern w:val="0"/>
                <w:sz w:val="22"/>
              </w:rPr>
            </w:pPr>
            <w:r>
              <w:rPr>
                <w:rFonts w:hint="eastAsia" w:ascii="宋体" w:hAnsi="宋体" w:eastAsia="宋体" w:cs="宋体"/>
                <w:b/>
                <w:bCs/>
                <w:color w:val="FF0000"/>
                <w:kern w:val="0"/>
                <w:sz w:val="22"/>
              </w:rPr>
              <w:t>注：星标项目为重点筛查内容；“○”表示是，“-”表示否；请直接用费用替换“○”进行报价。</w:t>
            </w:r>
          </w:p>
        </w:tc>
      </w:tr>
      <w:tr>
        <w:tblPrEx>
          <w:tblCellMar>
            <w:top w:w="0" w:type="dxa"/>
            <w:left w:w="108" w:type="dxa"/>
            <w:bottom w:w="0" w:type="dxa"/>
            <w:right w:w="108" w:type="dxa"/>
          </w:tblCellMar>
        </w:tblPrEx>
        <w:trPr>
          <w:trHeight w:val="317" w:hRule="atLeast"/>
        </w:trPr>
        <w:tc>
          <w:tcPr>
            <w:tcW w:w="1588"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b/>
                <w:bCs/>
                <w:kern w:val="0"/>
                <w:sz w:val="24"/>
                <w:szCs w:val="24"/>
              </w:rPr>
            </w:pPr>
          </w:p>
          <w:p>
            <w:pPr>
              <w:widowControl/>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项目</w:t>
            </w:r>
          </w:p>
          <w:p>
            <w:pPr>
              <w:widowControl/>
              <w:ind w:firstLine="482"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类别</w:t>
            </w:r>
            <w:r>
              <w:rPr>
                <w:rFonts w:hint="eastAsia" w:ascii="宋体" w:hAnsi="宋体" w:eastAsia="宋体" w:cs="宋体"/>
                <w:b/>
                <w:bCs/>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928370</wp:posOffset>
                      </wp:positionH>
                      <wp:positionV relativeFrom="paragraph">
                        <wp:posOffset>-119380</wp:posOffset>
                      </wp:positionV>
                      <wp:extent cx="0" cy="866775"/>
                      <wp:effectExtent l="5080" t="0" r="13970" b="9525"/>
                      <wp:wrapNone/>
                      <wp:docPr id="49369" name="直接连接符 3"/>
                      <wp:cNvGraphicFramePr/>
                      <a:graphic xmlns:a="http://schemas.openxmlformats.org/drawingml/2006/main">
                        <a:graphicData uri="http://schemas.microsoft.com/office/word/2010/wordprocessingShape">
                          <wps:wsp>
                            <wps:cNvCnPr/>
                            <wps:spPr bwMode="auto">
                              <a:xfrm>
                                <a:off x="0" y="0"/>
                                <a:ext cx="0" cy="866775"/>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3.1pt;margin-top:-9.4pt;height:68.25pt;width:0pt;z-index:251662336;mso-width-relative:page;mso-height-relative:page;" filled="f" stroked="t" coordsize="21600,21600" o:gfxdata="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KxPz1wAAAAsBAAAPAAAAAAAAAAEAIAAAACIAAABkcnMv&#10;ZG93bnJldi54bWxQSwECFAAUAAAACACHTuJAV4hQsMsBAAB7AwAADgAAAAAAAAABACAAAAAmAQAA&#10;ZHJzL2Uyb0RvYy54bWxQSwUGAAAAAAYABgBZAQAAYwUAAAAA&#10;">
                      <v:fill on="f" focussize="0,0"/>
                      <v:stroke color="#000000" joinstyle="round"/>
                      <v:imagedata o:title=""/>
                      <o:lock v:ext="edit" aspectratio="f"/>
                    </v:line>
                  </w:pict>
                </mc:Fallback>
              </mc:AlternateContent>
            </w:r>
          </w:p>
          <w:p>
            <w:pPr>
              <w:widowControl/>
              <w:jc w:val="left"/>
              <w:rPr>
                <w:rFonts w:ascii="宋体" w:hAnsi="宋体" w:eastAsia="宋体" w:cs="宋体"/>
                <w:kern w:val="0"/>
                <w:sz w:val="24"/>
                <w:szCs w:val="24"/>
              </w:rPr>
            </w:pP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项目名称</w:t>
            </w:r>
          </w:p>
          <w:p>
            <w:pPr>
              <w:widowControl/>
              <w:jc w:val="left"/>
              <w:rPr>
                <w:rFonts w:ascii="宋体" w:hAnsi="宋体" w:eastAsia="宋体" w:cs="宋体"/>
                <w:b/>
                <w:bCs/>
                <w:kern w:val="0"/>
                <w:sz w:val="24"/>
                <w:szCs w:val="24"/>
              </w:rPr>
            </w:pPr>
          </w:p>
        </w:tc>
        <w:tc>
          <w:tcPr>
            <w:tcW w:w="23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35岁以上</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35岁以下</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未婚女性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（63人）</w:t>
            </w:r>
          </w:p>
        </w:tc>
        <w:tc>
          <w:tcPr>
            <w:tcW w:w="68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项目内容及功能</w:t>
            </w:r>
          </w:p>
        </w:tc>
      </w:tr>
      <w:tr>
        <w:tblPrEx>
          <w:tblCellMar>
            <w:top w:w="0" w:type="dxa"/>
            <w:left w:w="108" w:type="dxa"/>
            <w:bottom w:w="0" w:type="dxa"/>
            <w:right w:w="108" w:type="dxa"/>
          </w:tblCellMar>
        </w:tblPrEx>
        <w:trPr>
          <w:trHeight w:val="568" w:hRule="atLeast"/>
        </w:trPr>
        <w:tc>
          <w:tcPr>
            <w:tcW w:w="15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男性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（57人）</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女性已婚</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（64人）</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男性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（30）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已婚女性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（76人）</w:t>
            </w: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18"/>
                <w:szCs w:val="18"/>
              </w:rPr>
            </w:pPr>
          </w:p>
        </w:tc>
        <w:tc>
          <w:tcPr>
            <w:tcW w:w="688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r>
      <w:tr>
        <w:tblPrEx>
          <w:tblCellMar>
            <w:top w:w="0" w:type="dxa"/>
            <w:left w:w="108" w:type="dxa"/>
            <w:bottom w:w="0" w:type="dxa"/>
            <w:right w:w="108" w:type="dxa"/>
          </w:tblCellMar>
        </w:tblPrEx>
        <w:trPr>
          <w:trHeight w:val="284" w:hRule="atLeast"/>
        </w:trPr>
        <w:tc>
          <w:tcPr>
            <w:tcW w:w="15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临床专科  检查</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身高、体重、血压</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通过测量身高、体重、血压可评价血压与体重是否正常，测定体重指数，可初步筛查高血压病</w:t>
            </w:r>
          </w:p>
        </w:tc>
      </w:tr>
      <w:tr>
        <w:tblPrEx>
          <w:tblCellMar>
            <w:top w:w="0" w:type="dxa"/>
            <w:left w:w="108" w:type="dxa"/>
            <w:bottom w:w="0" w:type="dxa"/>
            <w:right w:w="108" w:type="dxa"/>
          </w:tblCellMar>
        </w:tblPrEx>
        <w:trPr>
          <w:trHeight w:val="284"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采血费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采血耗材费</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内科</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通过医师对人体视、触、叩、听等物理方法检查，了解心脏、肺部、肝脾、腹部、神经反射等是否正常。可筛查诊断：先天性心脏病、肺气肿、肺炎、肝硬化、肝炎、胆囊炎、脾肿大、肾炎等疾病。</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外科</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通过视、触、叩等医学方法，可初步筛查皮肤、脊柱、四肢、淋巴结、甲状腺、乳腺、泌尿生殖道、肛门等部位的异常，属基础必查科室。</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眼科常规</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通过对视力、辨色力、结膜、角膜、眼睑、瞳孔、眼球运动功能的检查，可筛查：近视、远视、散光、色盲、沙眼、结膜炎、角膜炎等疾病。</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眼压检查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通过眼压仪对眼压的测定，了解是否有青光眼及高眼压症。年龄超过35岁有青光眼家族史者、高度近视、糖尿病患者，应定期测眼压，以便早期发现异常变化。</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眼底检查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是检查玻璃体、视网膜、脉络膜、视神经疾病的重要方法，可对眼底病变做出初步诊断，尤其对早期反应全身性动脉血管硬化有重要意义。</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眼科裂隙灯</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通过裂隙灯对角膜、虹膜、晶状体、瞳孔等全面检查，可初步筛查：先天性及老年性白内障、角膜溃疡、角膜炎、虹膜炎等疾病，属眼科必查项目。</w:t>
            </w:r>
          </w:p>
        </w:tc>
      </w:tr>
      <w:tr>
        <w:tblPrEx>
          <w:tblCellMar>
            <w:top w:w="0" w:type="dxa"/>
            <w:left w:w="108" w:type="dxa"/>
            <w:bottom w:w="0" w:type="dxa"/>
            <w:right w:w="108" w:type="dxa"/>
          </w:tblCellMar>
        </w:tblPrEx>
        <w:trPr>
          <w:trHeight w:val="478" w:hRule="atLeast"/>
        </w:trPr>
        <w:tc>
          <w:tcPr>
            <w:tcW w:w="15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功能科室  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心电图</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通过心电图机检查，可诊断心律失常、心绞痛、心肌梗塞、冠心病、心室肥厚、心肌缺血、心脏传导阻滞等心脏疾患，是健康体检不可缺少的一项检查。</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骨密度检查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通过骨密度仪测定人体骨骼矿物质密度，可检测有无骨量减少或骨质疏松症及其严重程度，对钙缺乏的人群有重要的指导作用。</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动脉血管硬度测定</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利用动脉硬化仪检测动脉血管的僵硬度和弹性的改变，可早期诊断动脉硬化症。对心血管疾病的预后判断以及治疗后的疗效评估都有重要意义。对血管早期病变的发现，较传统的检查如影像、超声、介入等系统提早5到10年。</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DR腰椎正侧位检查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通过数字化X射线摄影系统（DR)，检查腰椎正侧位，用于筛查腰椎增生、腰椎间盘突出、腰椎滑脱、腰椎骨质疏松、腰椎退行性改变等腰椎疾病。</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DR颈椎正侧位检查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利用数字化X射线摄影系统（DR)，对颈椎进行正侧位透视，可检查颈椎有无骨质病变，关节关系是否正常，椎间孔大小有无异常，颈椎生理曲度是否存在，可筛查颈椎病等病变。影像比普通X光机透视更清晰</w:t>
            </w:r>
          </w:p>
        </w:tc>
      </w:tr>
      <w:tr>
        <w:tblPrEx>
          <w:tblCellMar>
            <w:top w:w="0" w:type="dxa"/>
            <w:left w:w="108" w:type="dxa"/>
            <w:bottom w:w="0" w:type="dxa"/>
            <w:right w:w="108" w:type="dxa"/>
          </w:tblCellMar>
        </w:tblPrEx>
        <w:trPr>
          <w:trHeight w:val="717" w:hRule="atLeast"/>
        </w:trPr>
        <w:tc>
          <w:tcPr>
            <w:tcW w:w="15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FF0000"/>
                <w:kern w:val="0"/>
                <w:sz w:val="28"/>
                <w:szCs w:val="28"/>
              </w:rPr>
            </w:pPr>
            <w:r>
              <w:rPr>
                <w:rFonts w:hint="eastAsia" w:ascii="宋体" w:hAnsi="宋体" w:eastAsia="宋体" w:cs="宋体"/>
                <w:b/>
                <w:bCs/>
                <w:color w:val="FF0000"/>
                <w:kern w:val="0"/>
                <w:sz w:val="28"/>
                <w:szCs w:val="28"/>
              </w:rPr>
              <w:t>***</w:t>
            </w:r>
            <w:r>
              <w:rPr>
                <w:rFonts w:hint="eastAsia" w:ascii="宋体" w:hAnsi="宋体" w:eastAsia="宋体" w:cs="宋体"/>
                <w:b/>
                <w:bCs/>
                <w:color w:val="FF0000"/>
                <w:kern w:val="0"/>
                <w:sz w:val="28"/>
                <w:szCs w:val="28"/>
              </w:rPr>
              <w:br w:type="textWrapping"/>
            </w:r>
            <w:r>
              <w:rPr>
                <w:rFonts w:hint="eastAsia" w:ascii="宋体" w:hAnsi="宋体" w:eastAsia="宋体" w:cs="宋体"/>
                <w:b/>
                <w:bCs/>
                <w:color w:val="FF0000"/>
                <w:kern w:val="0"/>
                <w:sz w:val="28"/>
                <w:szCs w:val="28"/>
              </w:rPr>
              <w:t>彩超检查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腹部彩超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腹部彩超对人体腹腔内肝、胆、肾、胰、脾、血管等器官的内部结构形态进行检查，可筛查：脂肪肝、结石、囊肿、肿瘤、血管瘤、肝硬化、肾实质病变，是腹部脏器检查的重要项目。且彩色超声比黑白超声检查更清晰，分辨率更高。</w:t>
            </w:r>
          </w:p>
        </w:tc>
      </w:tr>
      <w:tr>
        <w:tblPrEx>
          <w:tblCellMar>
            <w:top w:w="0" w:type="dxa"/>
            <w:left w:w="108" w:type="dxa"/>
            <w:bottom w:w="0" w:type="dxa"/>
            <w:right w:w="108" w:type="dxa"/>
          </w:tblCellMar>
        </w:tblPrEx>
        <w:trPr>
          <w:trHeight w:val="284"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甲状腺彩超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通过彩色超声影像检查，可筛查甲状腺肿、甲状腺囊肿、甲状腺炎、甲状腺瘤、甲状腺癌等疾病.</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女性盆腔彩超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通过彩色超声影像对女性子宫、附件、膀胱等部位检查，可筛查子宫肌瘤、子宫癌、子宫内膜增生、卵巢囊肿、卵巢癌、膀胱占位性病变等疾病，是女性体检的重要检查项目。</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男性盆腔彩超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通过彩色超声影像对男性前列腺和膀胱的检查，可筛查前列腺肥大、前列腺癌、前列腺囊肿、前列腺钙化、膀胱占位性病变。是男性体检的重要检查项目。</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颈动脉彩超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通过彩色超声检查可发现颈动脉是否有狭窄、硬化及闭塞，是否有粥样斑块，是筛查动脉硬化预防心脑血管病的重要项目</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心脏彩超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又称“心脏彩色多普勒”，可全面系统评价心血管的形态、结构、血流动力学状态和心脏功能，已成为心血管疾病最重要的诊断方法之一。主要用于诊断心瓣膜病、高血压性心脏病、心肌病、冠心病、肺心病、先天性心脏病、主动脉病变及心脏肿瘤等疾病。</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乳腺彩超</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乳房彩色超声检查可筛查乳腺炎、乳腺增生、乳腺癌、乳腺囊肿或良性纤维瘤，是乳腺疾病最有效的检查方法之一。</w:t>
            </w:r>
          </w:p>
        </w:tc>
      </w:tr>
      <w:tr>
        <w:tblPrEx>
          <w:tblCellMar>
            <w:top w:w="0" w:type="dxa"/>
            <w:left w:w="108" w:type="dxa"/>
            <w:bottom w:w="0" w:type="dxa"/>
            <w:right w:w="108" w:type="dxa"/>
          </w:tblCellMar>
        </w:tblPrEx>
        <w:trPr>
          <w:trHeight w:val="478" w:hRule="atLeast"/>
        </w:trPr>
        <w:tc>
          <w:tcPr>
            <w:tcW w:w="158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化验室常规检查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血常规18项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通过血液分析可发现有无贫血、细菌感染、病毒感染、白血病、败血病、血小板数量异常等血液方面疾病，对机体其他器官的病变，也具有重要的诊断价值。</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血脂4项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甘油三酯、总胆固醇，高、低密度脂蛋白;通过血液检查可了解血液中脂类的含量，筛查是否有高血脂症。对高血压、糖尿病、动脉硬化、心肌梗塞、脑卒中、肥胖症、冠心病、肾病综合症有较高的预测和诊断价值。</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尿常规11项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通过对尿液的检查分析，可以诊断泌尿系统疾病，如泌尿系感染、肾炎、肿瘤、结石、血管病变，还可以协助诊断其他系统疾病，如糖尿病、急性胰腺炎、急性或慢性溶血、肝胆疾病等。</w:t>
            </w:r>
          </w:p>
        </w:tc>
      </w:tr>
      <w:tr>
        <w:tblPrEx>
          <w:tblCellMar>
            <w:top w:w="0" w:type="dxa"/>
            <w:left w:w="108" w:type="dxa"/>
            <w:bottom w:w="0" w:type="dxa"/>
            <w:right w:w="108" w:type="dxa"/>
          </w:tblCellMar>
        </w:tblPrEx>
        <w:trPr>
          <w:trHeight w:val="747" w:hRule="atLeast"/>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肝炎病毒  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乙肝五项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乙肝表面抗原、乙肝表面抗体、乙肝e抗原、乙肝e抗体、乙肝核心抗体、可筛查是否感染乙肝病毒，是否产生乙肝抗体，是否应注射疫苗和注射疫苗的效果。</w:t>
            </w:r>
          </w:p>
        </w:tc>
      </w:tr>
      <w:tr>
        <w:tblPrEx>
          <w:tblCellMar>
            <w:top w:w="0" w:type="dxa"/>
            <w:left w:w="108" w:type="dxa"/>
            <w:bottom w:w="0" w:type="dxa"/>
            <w:right w:w="108" w:type="dxa"/>
          </w:tblCellMar>
        </w:tblPrEx>
        <w:trPr>
          <w:trHeight w:val="478"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肠胃检查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碳-13呼气试验</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诊断幽梦螺旋杆菌感染，具有准确便捷的效果。幽梦感染可导致慢性胃炎、胃溃疡、消化性溃疡等此类感染者胃癌发病率远高于正常人。</w:t>
            </w:r>
          </w:p>
        </w:tc>
      </w:tr>
      <w:tr>
        <w:tblPrEx>
          <w:tblCellMar>
            <w:top w:w="0" w:type="dxa"/>
            <w:left w:w="108" w:type="dxa"/>
            <w:bottom w:w="0" w:type="dxa"/>
            <w:right w:w="108" w:type="dxa"/>
          </w:tblCellMar>
        </w:tblPrEx>
        <w:trPr>
          <w:trHeight w:val="672"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肝功</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肝功十三项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谷丙转氨酶、谷草转氨酶、谷氨酰转肽酶、碱性磷酸酶、总蛋白、白蛋白、球蛋白、总胆红素、直接胆红素、间接胆红素。通过血液生化分析可反映目前肝细胞的新陈代谢状态，可筛查肝、胆功能异常、急（慢）性肝炎，黄疸性肝炎、肝硬化、肝癌、心肌炎、肾炎等脏器疾病。</w:t>
            </w:r>
          </w:p>
        </w:tc>
      </w:tr>
      <w:tr>
        <w:tblPrEx>
          <w:tblCellMar>
            <w:top w:w="0" w:type="dxa"/>
            <w:left w:w="108" w:type="dxa"/>
            <w:bottom w:w="0" w:type="dxa"/>
            <w:right w:w="108" w:type="dxa"/>
          </w:tblCellMar>
        </w:tblPrEx>
        <w:trPr>
          <w:trHeight w:val="747"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肾功能检查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肾功能3项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通过血液检查尿素氮 、尿酸、肌酐三项，可筛查肾脏是否受损，是否有急（慢）性肾功能减退或肾衰，有无痛风、高尿酸血症等疾病。</w:t>
            </w:r>
          </w:p>
        </w:tc>
      </w:tr>
      <w:tr>
        <w:tblPrEx>
          <w:tblCellMar>
            <w:top w:w="0" w:type="dxa"/>
            <w:left w:w="108" w:type="dxa"/>
            <w:bottom w:w="0" w:type="dxa"/>
            <w:right w:w="108" w:type="dxa"/>
          </w:tblCellMar>
        </w:tblPrEx>
        <w:trPr>
          <w:trHeight w:val="478"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血糖检查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空腹血糖</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通过血液检测，可了解空腹时血液中葡萄糖的含量，是筛查糖尿病最基本的方法，也是判断糖尿病病情控制程度及进行饮食指导的主要指标。</w:t>
            </w:r>
          </w:p>
        </w:tc>
      </w:tr>
      <w:tr>
        <w:tblPrEx>
          <w:tblCellMar>
            <w:top w:w="0" w:type="dxa"/>
            <w:left w:w="108" w:type="dxa"/>
            <w:bottom w:w="0" w:type="dxa"/>
            <w:right w:w="108" w:type="dxa"/>
          </w:tblCellMar>
        </w:tblPrEx>
        <w:trPr>
          <w:trHeight w:val="448" w:hRule="atLeast"/>
        </w:trPr>
        <w:tc>
          <w:tcPr>
            <w:tcW w:w="15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心脑血管病检查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血流变</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通过血液检查可测定血液粘稠度，反映血液在体内的流动性及供应状况，警示由于血液粘度增加而导致的相关疾病，如脑中风及高黏滞综合症。</w:t>
            </w:r>
          </w:p>
        </w:tc>
      </w:tr>
      <w:tr>
        <w:tblPrEx>
          <w:tblCellMar>
            <w:top w:w="0" w:type="dxa"/>
            <w:left w:w="108" w:type="dxa"/>
            <w:bottom w:w="0" w:type="dxa"/>
            <w:right w:w="108" w:type="dxa"/>
          </w:tblCellMar>
        </w:tblPrEx>
        <w:trPr>
          <w:trHeight w:val="448"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甲状腺功能七项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总甲状腺素、三碘甲状腺原氨酸、促甲状腺素、游离T3、游离T4，通过血液检测人体甲状腺功能状态，可筛查甲低或甲亢等疾病。</w:t>
            </w:r>
          </w:p>
        </w:tc>
      </w:tr>
      <w:tr>
        <w:tblPrEx>
          <w:tblCellMar>
            <w:top w:w="0" w:type="dxa"/>
            <w:left w:w="108" w:type="dxa"/>
            <w:bottom w:w="0" w:type="dxa"/>
            <w:right w:w="108" w:type="dxa"/>
          </w:tblCellMar>
        </w:tblPrEx>
        <w:trPr>
          <w:trHeight w:val="672"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心肌酶谱5项</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谷草转氨酶（AST);肌酸激酶（CK);乳酸脱氢酶（LDH）;胫丁酸脱氢酶（HBDH)肌酸激酶同工酶（CKMB）。心肌酶谱是存在于心肌的多种酶的总称，心肌酶主要是测定心肌缺血坏死的程度或细胞膜通透性的改变。对心肌炎、心肌梗死的诊断有重要意义。也可用于某些肝病、肿瘤、脑血管疾病、血液病的辅助诊断。</w:t>
            </w:r>
          </w:p>
        </w:tc>
      </w:tr>
      <w:tr>
        <w:tblPrEx>
          <w:tblCellMar>
            <w:top w:w="0" w:type="dxa"/>
            <w:left w:w="108" w:type="dxa"/>
            <w:bottom w:w="0" w:type="dxa"/>
            <w:right w:w="108" w:type="dxa"/>
          </w:tblCellMar>
        </w:tblPrEx>
        <w:trPr>
          <w:trHeight w:val="717" w:hRule="atLeast"/>
        </w:trPr>
        <w:tc>
          <w:tcPr>
            <w:tcW w:w="15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同型半胱氨酸</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同型半胱氨酸是一个近年新发现的反映身体健康状况十分重要的指标。是导致动脉粥样硬化、心脑血管病、癌症、老年性痴呆等多种疾病的重要危险因素。对预测相关疾病的发病具有重要意义.已成为健康体检的重要项目。</w:t>
            </w:r>
          </w:p>
        </w:tc>
      </w:tr>
      <w:tr>
        <w:tblPrEx>
          <w:tblCellMar>
            <w:top w:w="0" w:type="dxa"/>
            <w:left w:w="108" w:type="dxa"/>
            <w:bottom w:w="0" w:type="dxa"/>
            <w:right w:w="108" w:type="dxa"/>
          </w:tblCellMar>
        </w:tblPrEx>
        <w:trPr>
          <w:trHeight w:val="478" w:hRule="atLeast"/>
        </w:trPr>
        <w:tc>
          <w:tcPr>
            <w:tcW w:w="15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糖类抗原</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糖类抗原CA50</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属广谱肿瘤标志物，通过血液检查，主要用于胰腺癌、结/直肠癌、胃癌的诊断，对原发性肝癌、卵巢癌、子宫癌也有诊断价值。</w:t>
            </w:r>
          </w:p>
        </w:tc>
      </w:tr>
      <w:tr>
        <w:tblPrEx>
          <w:tblCellMar>
            <w:top w:w="0" w:type="dxa"/>
            <w:left w:w="108" w:type="dxa"/>
            <w:bottom w:w="0" w:type="dxa"/>
            <w:right w:w="108" w:type="dxa"/>
          </w:tblCellMar>
        </w:tblPrEx>
        <w:trPr>
          <w:trHeight w:val="448" w:hRule="atLeast"/>
        </w:trPr>
        <w:tc>
          <w:tcPr>
            <w:tcW w:w="1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糖类抗原Ca19-9（胰腺）</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诊断消化道肿瘤、胰腺胆道系统恶性肿瘤的重要指标</w:t>
            </w:r>
          </w:p>
        </w:tc>
      </w:tr>
      <w:tr>
        <w:tblPrEx>
          <w:tblCellMar>
            <w:top w:w="0" w:type="dxa"/>
            <w:left w:w="108" w:type="dxa"/>
            <w:bottom w:w="0" w:type="dxa"/>
            <w:right w:w="108" w:type="dxa"/>
          </w:tblCellMar>
        </w:tblPrEx>
        <w:trPr>
          <w:trHeight w:val="284" w:hRule="atLeast"/>
        </w:trPr>
        <w:tc>
          <w:tcPr>
            <w:tcW w:w="1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糖类抗原12-5</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诊断卵巢上皮癌，输卵管癌、子宫内膜癌、子宫颈腺癌等恶性肿瘤的重要指标</w:t>
            </w:r>
          </w:p>
        </w:tc>
      </w:tr>
      <w:tr>
        <w:tblPrEx>
          <w:tblCellMar>
            <w:top w:w="0" w:type="dxa"/>
            <w:left w:w="108" w:type="dxa"/>
            <w:bottom w:w="0" w:type="dxa"/>
            <w:right w:w="108" w:type="dxa"/>
          </w:tblCellMar>
        </w:tblPrEx>
        <w:trPr>
          <w:trHeight w:val="284" w:hRule="atLeast"/>
        </w:trPr>
        <w:tc>
          <w:tcPr>
            <w:tcW w:w="1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糖类抗原15-3</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诊断乳腺癌的重要指标，对肺癌、卵巢癌有辅助诊断意义</w:t>
            </w:r>
          </w:p>
        </w:tc>
      </w:tr>
      <w:tr>
        <w:tblPrEx>
          <w:tblCellMar>
            <w:top w:w="0" w:type="dxa"/>
            <w:left w:w="108" w:type="dxa"/>
            <w:bottom w:w="0" w:type="dxa"/>
            <w:right w:w="108" w:type="dxa"/>
          </w:tblCellMar>
        </w:tblPrEx>
        <w:trPr>
          <w:trHeight w:val="747"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FF0000"/>
                <w:kern w:val="0"/>
                <w:sz w:val="28"/>
                <w:szCs w:val="28"/>
              </w:rPr>
            </w:pPr>
            <w:r>
              <w:rPr>
                <w:rFonts w:hint="eastAsia" w:ascii="宋体" w:hAnsi="宋体" w:eastAsia="宋体" w:cs="宋体"/>
                <w:b/>
                <w:bCs/>
                <w:color w:val="FF0000"/>
                <w:kern w:val="0"/>
                <w:sz w:val="28"/>
                <w:szCs w:val="28"/>
              </w:rPr>
              <w:t>***</w:t>
            </w:r>
            <w:r>
              <w:rPr>
                <w:rFonts w:hint="eastAsia" w:ascii="宋体" w:hAnsi="宋体" w:eastAsia="宋体" w:cs="宋体"/>
                <w:b/>
                <w:bCs/>
                <w:color w:val="FF0000"/>
                <w:kern w:val="0"/>
                <w:sz w:val="28"/>
                <w:szCs w:val="28"/>
              </w:rPr>
              <w:br w:type="textWrapping"/>
            </w:r>
            <w:r>
              <w:rPr>
                <w:rFonts w:hint="eastAsia" w:ascii="宋体" w:hAnsi="宋体" w:eastAsia="宋体" w:cs="宋体"/>
                <w:b/>
                <w:bCs/>
                <w:color w:val="FF0000"/>
                <w:kern w:val="0"/>
                <w:sz w:val="28"/>
                <w:szCs w:val="28"/>
              </w:rPr>
              <w:t>CT检查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胸部CT</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通过CT对双肺及纵膈进行扫描，主要用于检查胸部外伤、肺部炎性改变、肺内良恶性肿瘤、纵膈肿瘤、心包及胸膜病变等疾病。</w:t>
            </w:r>
          </w:p>
        </w:tc>
      </w:tr>
      <w:tr>
        <w:tblPrEx>
          <w:tblCellMar>
            <w:top w:w="0" w:type="dxa"/>
            <w:left w:w="108" w:type="dxa"/>
            <w:bottom w:w="0" w:type="dxa"/>
            <w:right w:w="108" w:type="dxa"/>
          </w:tblCellMar>
        </w:tblPrEx>
        <w:trPr>
          <w:trHeight w:val="747" w:hRule="atLeast"/>
        </w:trPr>
        <w:tc>
          <w:tcPr>
            <w:tcW w:w="15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FF0000"/>
                <w:kern w:val="0"/>
                <w:sz w:val="28"/>
                <w:szCs w:val="28"/>
              </w:rPr>
            </w:pPr>
            <w:r>
              <w:rPr>
                <w:rFonts w:hint="eastAsia" w:ascii="宋体" w:hAnsi="宋体" w:eastAsia="宋体" w:cs="宋体"/>
                <w:b/>
                <w:bCs/>
                <w:color w:val="FF0000"/>
                <w:kern w:val="0"/>
                <w:sz w:val="28"/>
                <w:szCs w:val="28"/>
              </w:rPr>
              <w:t>***</w:t>
            </w:r>
            <w:r>
              <w:rPr>
                <w:rFonts w:hint="eastAsia" w:ascii="宋体" w:hAnsi="宋体" w:eastAsia="宋体" w:cs="宋体"/>
                <w:b/>
                <w:bCs/>
                <w:color w:val="FF0000"/>
                <w:kern w:val="0"/>
                <w:sz w:val="28"/>
                <w:szCs w:val="28"/>
              </w:rPr>
              <w:br w:type="textWrapping"/>
            </w:r>
            <w:r>
              <w:rPr>
                <w:rFonts w:hint="eastAsia" w:ascii="宋体" w:hAnsi="宋体" w:eastAsia="宋体" w:cs="宋体"/>
                <w:b/>
                <w:bCs/>
                <w:color w:val="FF0000"/>
                <w:kern w:val="0"/>
                <w:sz w:val="28"/>
                <w:szCs w:val="28"/>
              </w:rPr>
              <w:t>核磁检查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MRI-颅脑</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通过MRI对颅脑进行扫描，主要用于检查颅脑外伤、颅内肿瘤、脑萎缩、脑积水、脑梗塞、颅骨骨源性疾病、颅内感染性疾病等。</w:t>
            </w:r>
          </w:p>
        </w:tc>
      </w:tr>
      <w:tr>
        <w:tblPrEx>
          <w:tblCellMar>
            <w:top w:w="0" w:type="dxa"/>
            <w:left w:w="108" w:type="dxa"/>
            <w:bottom w:w="0" w:type="dxa"/>
            <w:right w:w="108" w:type="dxa"/>
          </w:tblCellMar>
        </w:tblPrEx>
        <w:trPr>
          <w:trHeight w:val="717" w:hRule="atLeast"/>
        </w:trPr>
        <w:tc>
          <w:tcPr>
            <w:tcW w:w="15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FF0000"/>
                <w:kern w:val="0"/>
                <w:sz w:val="28"/>
                <w:szCs w:val="28"/>
              </w:rPr>
            </w:pPr>
            <w:r>
              <w:rPr>
                <w:rFonts w:hint="eastAsia" w:ascii="宋体" w:hAnsi="宋体" w:eastAsia="宋体" w:cs="宋体"/>
                <w:b/>
                <w:bCs/>
                <w:color w:val="FF0000"/>
                <w:kern w:val="0"/>
                <w:sz w:val="28"/>
                <w:szCs w:val="28"/>
              </w:rPr>
              <w:t>***</w:t>
            </w:r>
            <w:r>
              <w:rPr>
                <w:rFonts w:hint="eastAsia" w:ascii="宋体" w:hAnsi="宋体" w:eastAsia="宋体" w:cs="宋体"/>
                <w:b/>
                <w:bCs/>
                <w:color w:val="FF0000"/>
                <w:kern w:val="0"/>
                <w:sz w:val="28"/>
                <w:szCs w:val="28"/>
              </w:rPr>
              <w:br w:type="textWrapping"/>
            </w:r>
            <w:r>
              <w:rPr>
                <w:rFonts w:hint="eastAsia" w:ascii="宋体" w:hAnsi="宋体" w:eastAsia="宋体" w:cs="宋体"/>
                <w:b/>
                <w:bCs/>
                <w:color w:val="FF0000"/>
                <w:kern w:val="0"/>
                <w:sz w:val="28"/>
                <w:szCs w:val="28"/>
              </w:rPr>
              <w:t>妇科检查</w:t>
            </w: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妇检+白带常规</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妇科体检医师通过问诊女性月经史、手术史、孕产史、及对外阴、阴道分泌物、宫颈、宫体、附件的检查，可了解女性子宫大小、形态及位置有无异常，可筛查：阴道炎、宫颈糜烂、附件炎、盆腔炎等疾病。</w:t>
            </w:r>
          </w:p>
        </w:tc>
      </w:tr>
      <w:tr>
        <w:tblPrEx>
          <w:tblCellMar>
            <w:top w:w="0" w:type="dxa"/>
            <w:left w:w="108" w:type="dxa"/>
            <w:bottom w:w="0" w:type="dxa"/>
            <w:right w:w="108" w:type="dxa"/>
          </w:tblCellMar>
        </w:tblPrEx>
        <w:trPr>
          <w:trHeight w:val="478" w:hRule="atLeast"/>
        </w:trPr>
        <w:tc>
          <w:tcPr>
            <w:tcW w:w="1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宫颈液基薄层细胞学检查</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宫颈薄层细胞学检查是筛查宫颈癌的最有效方法。该测试方法大大减少了血液、粘液、炎症的干扰，提高了子宫颈细胞样本的纯度，从而大大提高了妇女宫颈癌早期病变的检出率。</w:t>
            </w:r>
          </w:p>
        </w:tc>
      </w:tr>
      <w:tr>
        <w:tblPrEx>
          <w:tblCellMar>
            <w:top w:w="0" w:type="dxa"/>
            <w:left w:w="108" w:type="dxa"/>
            <w:bottom w:w="0" w:type="dxa"/>
            <w:right w:w="108" w:type="dxa"/>
          </w:tblCellMar>
        </w:tblPrEx>
        <w:trPr>
          <w:trHeight w:val="448" w:hRule="atLeast"/>
        </w:trPr>
        <w:tc>
          <w:tcPr>
            <w:tcW w:w="15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FF0000"/>
                <w:kern w:val="0"/>
                <w:sz w:val="28"/>
                <w:szCs w:val="28"/>
              </w:rPr>
            </w:pPr>
          </w:p>
        </w:tc>
        <w:tc>
          <w:tcPr>
            <w:tcW w:w="15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人乳头瘤 HPV23分型检测</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8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HPV感染是宫颈上皮内瘤变及宫颈癌发生的必要因素，通过宫颈脱落细胞检查，筛查是否存在HPV感染，对宫颈癌的发生可作出有效警示。</w:t>
            </w:r>
          </w:p>
        </w:tc>
      </w:tr>
      <w:tr>
        <w:tblPrEx>
          <w:tblCellMar>
            <w:top w:w="0" w:type="dxa"/>
            <w:left w:w="108" w:type="dxa"/>
            <w:bottom w:w="0" w:type="dxa"/>
            <w:right w:w="108" w:type="dxa"/>
          </w:tblCellMar>
        </w:tblPrEx>
        <w:trPr>
          <w:trHeight w:val="281"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合计费用</w:t>
            </w:r>
          </w:p>
        </w:tc>
        <w:tc>
          <w:tcPr>
            <w:tcW w:w="144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88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r>
        <w:tblPrEx>
          <w:tblCellMar>
            <w:top w:w="0" w:type="dxa"/>
            <w:left w:w="108" w:type="dxa"/>
            <w:bottom w:w="0" w:type="dxa"/>
            <w:right w:w="108" w:type="dxa"/>
          </w:tblCellMar>
        </w:tblPrEx>
        <w:trPr>
          <w:trHeight w:val="281" w:hRule="atLeast"/>
        </w:trPr>
        <w:tc>
          <w:tcPr>
            <w:tcW w:w="311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报价</w:t>
            </w:r>
          </w:p>
        </w:tc>
        <w:tc>
          <w:tcPr>
            <w:tcW w:w="144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88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2E5YjBlYjUxNDUwZTdjOTI0OGM3NzVlNmMwMjgifQ=="/>
  </w:docVars>
  <w:rsids>
    <w:rsidRoot w:val="42D85F36"/>
    <w:rsid w:val="42D85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2023-04-17T06:54:00Z</dcterms:created>
  <dc:creator>PEAK</dc:creator>
  <cp:lastModifiedBy>PEAK</cp:lastModifiedBy>
  <dcterms:modified xsi:type="dcterms:W3CDTF">2023-04-17T06:55:42Z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8096190977814C25A9390EE78EE5E175_11</vt:lpwstr>
  </property>
</Properties>
</file>