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1391" w:rsidRDefault="00824DE5">
      <w:pPr>
        <w:rPr>
          <w:rFonts w:ascii="黑体" w:eastAsia="黑体" w:hAnsi="黑体" w:cs="黑体"/>
          <w:sz w:val="32"/>
          <w:szCs w:val="32"/>
        </w:rPr>
      </w:pPr>
      <w:bookmarkStart w:id="0" w:name="_GoBack"/>
      <w:r>
        <w:rPr>
          <w:rFonts w:ascii="黑体" w:eastAsia="黑体" w:hAnsi="黑体" w:cs="黑体" w:hint="eastAsia"/>
          <w:sz w:val="32"/>
          <w:szCs w:val="32"/>
        </w:rPr>
        <w:t>附件2：</w:t>
      </w:r>
      <w:r w:rsidR="00DC4DC4">
        <w:rPr>
          <w:rFonts w:ascii="黑体" w:eastAsia="黑体" w:hAnsi="黑体" w:cs="黑体" w:hint="eastAsia"/>
          <w:sz w:val="32"/>
          <w:szCs w:val="32"/>
        </w:rPr>
        <w:t>智慧实验室管理平台</w:t>
      </w:r>
      <w:r>
        <w:rPr>
          <w:rFonts w:ascii="黑体" w:eastAsia="黑体" w:hAnsi="黑体" w:cs="黑体" w:hint="eastAsia"/>
          <w:sz w:val="32"/>
          <w:szCs w:val="32"/>
        </w:rPr>
        <w:t>招标参考参数</w:t>
      </w:r>
      <w:bookmarkEnd w:id="0"/>
    </w:p>
    <w:tbl>
      <w:tblPr>
        <w:tblW w:w="79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8"/>
        <w:gridCol w:w="6264"/>
      </w:tblGrid>
      <w:tr w:rsidR="00DC4DC4" w:rsidRPr="00EF1E5E" w:rsidTr="00DC4DC4">
        <w:trPr>
          <w:jc w:val="center"/>
        </w:trPr>
        <w:tc>
          <w:tcPr>
            <w:tcW w:w="1698" w:type="dxa"/>
            <w:shd w:val="pct15" w:color="auto" w:fill="auto"/>
            <w:vAlign w:val="center"/>
          </w:tcPr>
          <w:p w:rsidR="00DC4DC4" w:rsidRPr="00824DE5" w:rsidRDefault="00824DE5" w:rsidP="00500C11">
            <w:pPr>
              <w:jc w:val="center"/>
              <w:rPr>
                <w:rFonts w:ascii="黑体" w:eastAsia="黑体" w:hAnsi="黑体"/>
                <w:b/>
                <w:sz w:val="24"/>
              </w:rPr>
            </w:pPr>
            <w:r>
              <w:rPr>
                <w:rFonts w:ascii="黑体" w:eastAsia="黑体" w:hAnsi="黑体" w:hint="eastAsia"/>
                <w:b/>
                <w:sz w:val="24"/>
              </w:rPr>
              <w:t>功能模块</w:t>
            </w:r>
          </w:p>
        </w:tc>
        <w:tc>
          <w:tcPr>
            <w:tcW w:w="6264" w:type="dxa"/>
            <w:shd w:val="pct15" w:color="auto" w:fill="auto"/>
            <w:vAlign w:val="center"/>
          </w:tcPr>
          <w:p w:rsidR="00DC4DC4" w:rsidRPr="00824DE5" w:rsidRDefault="00824DE5" w:rsidP="00500C11">
            <w:pPr>
              <w:jc w:val="center"/>
              <w:rPr>
                <w:rFonts w:ascii="黑体" w:eastAsia="黑体" w:hAnsi="黑体"/>
                <w:b/>
                <w:sz w:val="24"/>
              </w:rPr>
            </w:pPr>
            <w:r>
              <w:rPr>
                <w:rFonts w:ascii="黑体" w:eastAsia="黑体" w:hAnsi="黑体" w:hint="eastAsia"/>
                <w:b/>
                <w:sz w:val="24"/>
              </w:rPr>
              <w:t>功能</w:t>
            </w:r>
            <w:r w:rsidR="00DC4DC4" w:rsidRPr="00824DE5">
              <w:rPr>
                <w:rFonts w:ascii="黑体" w:eastAsia="黑体" w:hAnsi="黑体" w:hint="eastAsia"/>
                <w:b/>
                <w:sz w:val="24"/>
              </w:rPr>
              <w:t>介绍</w:t>
            </w:r>
          </w:p>
        </w:tc>
      </w:tr>
      <w:tr w:rsidR="00DC4DC4" w:rsidRPr="00EF1E5E" w:rsidTr="00DC4DC4">
        <w:trPr>
          <w:cantSplit/>
          <w:trHeight w:val="567"/>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实验室综合管理平台</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校级实验室综合管理平台是实验室管理系统能正常运转的框架与核心，它承载了全校各</w:t>
            </w:r>
            <w:proofErr w:type="gramStart"/>
            <w:r w:rsidRPr="00824DE5">
              <w:rPr>
                <w:rFonts w:asciiTheme="minorEastAsia" w:hAnsiTheme="minorEastAsia" w:hint="eastAsia"/>
              </w:rPr>
              <w:t>各</w:t>
            </w:r>
            <w:proofErr w:type="gramEnd"/>
            <w:r w:rsidRPr="00824DE5">
              <w:rPr>
                <w:rFonts w:asciiTheme="minorEastAsia" w:hAnsiTheme="minorEastAsia" w:hint="eastAsia"/>
              </w:rPr>
              <w:t>二级单位的实验室基础信息、二级单位实验室队伍管理任命、全校的仪器设备基础信息、学生教室的人员账户信息管理、学校实验成果管理、数据统计、前台信息交互管理、、系统初始化设置、权限管理等软件模块，以及物联网管控平台的综合数据信息</w:t>
            </w:r>
            <w:r w:rsidRPr="00824DE5">
              <w:rPr>
                <w:rFonts w:asciiTheme="minorEastAsia" w:hAnsiTheme="minorEastAsia"/>
              </w:rPr>
              <w:t>。</w:t>
            </w:r>
          </w:p>
        </w:tc>
      </w:tr>
      <w:tr w:rsidR="00DC4DC4" w:rsidRPr="00EF1E5E" w:rsidTr="00DC4DC4">
        <w:trPr>
          <w:cantSplit/>
          <w:trHeight w:val="645"/>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校级信息门户中心</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校级信息</w:t>
            </w:r>
            <w:r w:rsidRPr="00824DE5">
              <w:rPr>
                <w:rFonts w:asciiTheme="minorEastAsia" w:hAnsiTheme="minorEastAsia"/>
              </w:rPr>
              <w:t>门户</w:t>
            </w:r>
            <w:r w:rsidRPr="00824DE5">
              <w:rPr>
                <w:rFonts w:asciiTheme="minorEastAsia" w:hAnsiTheme="minorEastAsia" w:hint="eastAsia"/>
              </w:rPr>
              <w:t>中心位于实验室综合管理系统的最上层，是一个能</w:t>
            </w:r>
            <w:r w:rsidRPr="00824DE5">
              <w:rPr>
                <w:rFonts w:asciiTheme="minorEastAsia" w:hAnsiTheme="minorEastAsia"/>
              </w:rPr>
              <w:t>覆盖全校的、统一的综合信息服务平台，为各类用户提供信息处理、资源访问控制、统一身份认证和应用系统集成的信息服务</w:t>
            </w:r>
            <w:r w:rsidRPr="00824DE5">
              <w:rPr>
                <w:rFonts w:asciiTheme="minorEastAsia" w:hAnsiTheme="minorEastAsia" w:hint="eastAsia"/>
              </w:rPr>
              <w:t>，将各个业务系统的不同功能有效组织起来，为用户提供一个统一的信息服务入口。</w:t>
            </w:r>
          </w:p>
        </w:tc>
      </w:tr>
      <w:tr w:rsidR="00DC4DC4" w:rsidRPr="00EF1E5E" w:rsidTr="00DC4DC4">
        <w:trPr>
          <w:cantSplit/>
          <w:trHeight w:val="570"/>
          <w:jc w:val="center"/>
        </w:trPr>
        <w:tc>
          <w:tcPr>
            <w:tcW w:w="1698" w:type="dxa"/>
            <w:shd w:val="clear" w:color="auto" w:fill="auto"/>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数据</w:t>
            </w:r>
            <w:r w:rsidRPr="00824DE5">
              <w:rPr>
                <w:rFonts w:ascii="黑体" w:eastAsia="黑体" w:hAnsi="黑体"/>
                <w:b/>
                <w:sz w:val="24"/>
              </w:rPr>
              <w:t>同步</w:t>
            </w:r>
            <w:r w:rsidRPr="00824DE5">
              <w:rPr>
                <w:rFonts w:ascii="黑体" w:eastAsia="黑体" w:hAnsi="黑体" w:hint="eastAsia"/>
                <w:b/>
                <w:sz w:val="24"/>
              </w:rPr>
              <w:t>与对接</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按学校要求与学校现有信息系统对接并同步数据（教务、资产、学工、统一身份认证等），后期学校出现新的系统需要对接时，所有接口免费。</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实验教学管理系统</w:t>
            </w:r>
          </w:p>
        </w:tc>
        <w:tc>
          <w:tcPr>
            <w:tcW w:w="6264" w:type="dxa"/>
            <w:vAlign w:val="center"/>
          </w:tcPr>
          <w:p w:rsidR="00DC4DC4" w:rsidRPr="00824DE5" w:rsidRDefault="00DC4DC4" w:rsidP="00500C11">
            <w:pPr>
              <w:spacing w:line="0" w:lineRule="atLeast"/>
              <w:jc w:val="left"/>
              <w:rPr>
                <w:rFonts w:asciiTheme="minorEastAsia" w:hAnsiTheme="minorEastAsia"/>
                <w:color w:val="FF0000"/>
              </w:rPr>
            </w:pPr>
            <w:r w:rsidRPr="00824DE5">
              <w:rPr>
                <w:rFonts w:asciiTheme="minorEastAsia" w:hAnsiTheme="minorEastAsia" w:hint="eastAsia"/>
              </w:rPr>
              <w:t>与教务系统对接，实验教学理论课及实验课排课信息、课程编号、实验课程、项目编号、实验项目选课结果等信息自动生成实验教学任务书，依据教学任务制定教学计划并在线审核与调整；以实验项目为基础，实现按课程、按实验项目等多种形式、多类型的混合排课，实现对实验教学成绩、实验报告管理等</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实验室数据填上报系统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rPr>
              <w:t>系统实现填报公告发布、填报数据整理、业务多级审批、数据汇总及考核表格导出等流程化管理，通过一次性填报</w:t>
            </w:r>
            <w:proofErr w:type="gramStart"/>
            <w:r w:rsidRPr="00824DE5">
              <w:rPr>
                <w:rFonts w:asciiTheme="minorEastAsia" w:hAnsiTheme="minorEastAsia"/>
              </w:rPr>
              <w:t>完成完成</w:t>
            </w:r>
            <w:proofErr w:type="gramEnd"/>
            <w:r w:rsidRPr="00824DE5">
              <w:rPr>
                <w:rFonts w:asciiTheme="minorEastAsia" w:hAnsiTheme="minorEastAsia"/>
              </w:rPr>
              <w:t>国家教育部要求的SJ4、SJ5、SJ6及SJ7数据上报工作内容生成及上报，实现填、</w:t>
            </w:r>
            <w:proofErr w:type="gramStart"/>
            <w:r w:rsidRPr="00824DE5">
              <w:rPr>
                <w:rFonts w:asciiTheme="minorEastAsia" w:hAnsiTheme="minorEastAsia"/>
              </w:rPr>
              <w:t>报过</w:t>
            </w:r>
            <w:proofErr w:type="gramEnd"/>
            <w:r w:rsidRPr="00824DE5">
              <w:rPr>
                <w:rFonts w:asciiTheme="minorEastAsia" w:hAnsiTheme="minorEastAsia"/>
              </w:rPr>
              <w:t>程的全信息化。有效解决传统人工数据采集难、汇总复杂、上报数据不准确等工作难点。</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低值易耗品管理系统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主管部门发布采购计划安排，各二级院部根据计划安排提报采购计划，主管部门进行审核、反馈、审批、采购，二级院部领用，各实验室或实验项目进行耗材领用。</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实验室安全准入考核管理系统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rPr>
              <w:t>采取网上练习与网络考试相结合的教学形式，在学生进入开放实验室之前通过系统对实验安全与规范有系统的认识与学习。通过网络考试系统，评价学生的实验室安全学习效果</w:t>
            </w:r>
            <w:r w:rsidRPr="00824DE5">
              <w:rPr>
                <w:rFonts w:asciiTheme="minorEastAsia" w:hAnsiTheme="minorEastAsia" w:hint="eastAsia"/>
              </w:rPr>
              <w:t>，</w:t>
            </w:r>
            <w:r w:rsidRPr="00824DE5">
              <w:rPr>
                <w:rFonts w:asciiTheme="minorEastAsia" w:hAnsiTheme="minorEastAsia"/>
              </w:rPr>
              <w:t>提供快速有效的检验平台。</w:t>
            </w:r>
          </w:p>
        </w:tc>
      </w:tr>
      <w:tr w:rsidR="00DC4DC4" w:rsidRPr="00EF1E5E" w:rsidTr="00DC4DC4">
        <w:trPr>
          <w:cantSplit/>
          <w:trHeight w:val="947"/>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安全准入管理移动应用</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用户通过移动应用终端在线完成安全考试、成绩查询、证书查询。支持</w:t>
            </w:r>
            <w:proofErr w:type="gramStart"/>
            <w:r w:rsidRPr="00824DE5">
              <w:rPr>
                <w:rFonts w:asciiTheme="minorEastAsia" w:hAnsiTheme="minorEastAsia" w:hint="eastAsia"/>
              </w:rPr>
              <w:t>安卓及</w:t>
            </w:r>
            <w:proofErr w:type="gramEnd"/>
            <w:r w:rsidRPr="00824DE5">
              <w:rPr>
                <w:rFonts w:asciiTheme="minorEastAsia" w:hAnsiTheme="minorEastAsia" w:hint="eastAsia"/>
              </w:rPr>
              <w:t>IOS系统的移动APP或</w:t>
            </w:r>
            <w:proofErr w:type="gramStart"/>
            <w:r w:rsidRPr="00824DE5">
              <w:rPr>
                <w:rFonts w:asciiTheme="minorEastAsia" w:hAnsiTheme="minorEastAsia" w:hint="eastAsia"/>
              </w:rPr>
              <w:t>微信公众</w:t>
            </w:r>
            <w:proofErr w:type="gramEnd"/>
            <w:r w:rsidRPr="00824DE5">
              <w:rPr>
                <w:rFonts w:asciiTheme="minorEastAsia" w:hAnsiTheme="minorEastAsia" w:hint="eastAsia"/>
              </w:rPr>
              <w:t>号等模式。</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实验室安全检查管理系统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系统侧重实验室安全体系的过程管理，实现对各类教学/科研实验室安全检查依据、计划、评审、核查、整改、报告及统计报表的管理，提高高校实验室安全管理部门的工作效率</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实验室安全检查移动应用</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用户通过移动应用终端在线完成安全巡检状态登记、评审、核查。支持</w:t>
            </w:r>
            <w:proofErr w:type="gramStart"/>
            <w:r w:rsidRPr="00824DE5">
              <w:rPr>
                <w:rFonts w:asciiTheme="minorEastAsia" w:hAnsiTheme="minorEastAsia" w:hint="eastAsia"/>
              </w:rPr>
              <w:t>安卓及</w:t>
            </w:r>
            <w:proofErr w:type="gramEnd"/>
            <w:r w:rsidRPr="00824DE5">
              <w:rPr>
                <w:rFonts w:asciiTheme="minorEastAsia" w:hAnsiTheme="minorEastAsia" w:hint="eastAsia"/>
              </w:rPr>
              <w:t>IOS系统的移动APP或</w:t>
            </w:r>
            <w:proofErr w:type="gramStart"/>
            <w:r w:rsidRPr="00824DE5">
              <w:rPr>
                <w:rFonts w:asciiTheme="minorEastAsia" w:hAnsiTheme="minorEastAsia" w:hint="eastAsia"/>
              </w:rPr>
              <w:t>微信公众</w:t>
            </w:r>
            <w:proofErr w:type="gramEnd"/>
            <w:r w:rsidRPr="00824DE5">
              <w:rPr>
                <w:rFonts w:asciiTheme="minorEastAsia" w:hAnsiTheme="minorEastAsia" w:hint="eastAsia"/>
              </w:rPr>
              <w:t>号等模式。</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实验室开放管理系统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完成对全校实验室开放规则设置，开放安全保障（信誉积分）、开放状态查询统计等过程化控制，结合物联网管控平台实现实验室的全天候开放预约管理。；</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实验室开放管理移动应用平台</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通过移动终端，实现对实验室开放的在线预约、预约审核、预约状态查询及个人中心管理等内容，支持</w:t>
            </w:r>
            <w:proofErr w:type="gramStart"/>
            <w:r w:rsidRPr="00824DE5">
              <w:rPr>
                <w:rFonts w:asciiTheme="minorEastAsia" w:hAnsiTheme="minorEastAsia" w:hint="eastAsia"/>
              </w:rPr>
              <w:t>安卓及</w:t>
            </w:r>
            <w:proofErr w:type="gramEnd"/>
            <w:r w:rsidRPr="00824DE5">
              <w:rPr>
                <w:rFonts w:asciiTheme="minorEastAsia" w:hAnsiTheme="minorEastAsia" w:hint="eastAsia"/>
              </w:rPr>
              <w:t>IOS系统的移动APP或</w:t>
            </w:r>
            <w:proofErr w:type="gramStart"/>
            <w:r w:rsidRPr="00824DE5">
              <w:rPr>
                <w:rFonts w:asciiTheme="minorEastAsia" w:hAnsiTheme="minorEastAsia" w:hint="eastAsia"/>
              </w:rPr>
              <w:t>微信公众</w:t>
            </w:r>
            <w:proofErr w:type="gramEnd"/>
            <w:r w:rsidRPr="00824DE5">
              <w:rPr>
                <w:rFonts w:asciiTheme="minorEastAsia" w:hAnsiTheme="minorEastAsia" w:hint="eastAsia"/>
              </w:rPr>
              <w:t>号等模式。</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lastRenderedPageBreak/>
              <w:t>实验室建设项目管理系统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对实验室建设项目的申报、评审、实施、验收全程管控，监控每个实验室建设项目完整生命周期，实现实验室建设项目业务管理的电子化和智能化。</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仪器设备合同管理系统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管理仪器设备采购中的合同流程化管理，包含合同初稿填写、领导确认、合同签订状态监控，实施查询合同进展情况等内容。</w:t>
            </w:r>
          </w:p>
        </w:tc>
      </w:tr>
      <w:tr w:rsidR="00DC4DC4" w:rsidRPr="00EF1E5E" w:rsidTr="00DC4DC4">
        <w:trPr>
          <w:cantSplit/>
          <w:trHeight w:val="570"/>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仪器设备借用管理系统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完成由网上在线填写借用申请--仪器管理员审批--设备借用出库--设备归还验收--仪器续借及审批--借用记录查询的完整流程化管理。</w:t>
            </w:r>
          </w:p>
        </w:tc>
      </w:tr>
      <w:tr w:rsidR="00DC4DC4" w:rsidRPr="00EF1E5E" w:rsidTr="00DC4DC4">
        <w:trPr>
          <w:cantSplit/>
          <w:trHeight w:val="607"/>
          <w:jc w:val="center"/>
        </w:trPr>
        <w:tc>
          <w:tcPr>
            <w:tcW w:w="1698" w:type="dxa"/>
            <w:vAlign w:val="center"/>
          </w:tcPr>
          <w:p w:rsidR="00DC4DC4" w:rsidRPr="00824DE5" w:rsidRDefault="00DC4DC4" w:rsidP="00824DE5">
            <w:pPr>
              <w:jc w:val="center"/>
              <w:rPr>
                <w:rFonts w:ascii="黑体" w:eastAsia="黑体" w:hAnsi="黑体"/>
                <w:b/>
                <w:sz w:val="24"/>
              </w:rPr>
            </w:pPr>
            <w:r w:rsidRPr="00824DE5">
              <w:rPr>
                <w:rFonts w:ascii="黑体" w:eastAsia="黑体" w:hAnsi="黑体" w:hint="eastAsia"/>
                <w:b/>
                <w:sz w:val="24"/>
              </w:rPr>
              <w:t>仪器设备维修管理系统</w:t>
            </w:r>
          </w:p>
        </w:tc>
        <w:tc>
          <w:tcPr>
            <w:tcW w:w="6264" w:type="dxa"/>
            <w:vAlign w:val="center"/>
          </w:tcPr>
          <w:p w:rsidR="00DC4DC4" w:rsidRPr="00824DE5" w:rsidRDefault="00DC4DC4" w:rsidP="00500C11">
            <w:pPr>
              <w:spacing w:line="0" w:lineRule="atLeast"/>
              <w:jc w:val="left"/>
              <w:rPr>
                <w:rFonts w:asciiTheme="minorEastAsia" w:hAnsiTheme="minorEastAsia"/>
              </w:rPr>
            </w:pPr>
            <w:r w:rsidRPr="00824DE5">
              <w:rPr>
                <w:rFonts w:asciiTheme="minorEastAsia" w:hAnsiTheme="minorEastAsia" w:hint="eastAsia"/>
              </w:rPr>
              <w:t>包含仪器设备维修申报、审核、执行、验收等全流程</w:t>
            </w:r>
            <w:proofErr w:type="gramStart"/>
            <w:r w:rsidRPr="00824DE5">
              <w:rPr>
                <w:rFonts w:asciiTheme="minorEastAsia" w:hAnsiTheme="minorEastAsia" w:hint="eastAsia"/>
              </w:rPr>
              <w:t>化业务</w:t>
            </w:r>
            <w:proofErr w:type="gramEnd"/>
            <w:r w:rsidRPr="00824DE5">
              <w:rPr>
                <w:rFonts w:asciiTheme="minorEastAsia" w:hAnsiTheme="minorEastAsia" w:hint="eastAsia"/>
              </w:rPr>
              <w:t>管理平台。可导出维修状态及建议报废等状态，对仪器设备自我维修维护及保质期内的维修、报修维修进行统计记录；</w:t>
            </w:r>
          </w:p>
        </w:tc>
      </w:tr>
    </w:tbl>
    <w:p w:rsidR="00DC4DC4" w:rsidRDefault="00DC4DC4">
      <w:pPr>
        <w:rPr>
          <w:rFonts w:ascii="黑体" w:eastAsia="黑体" w:hAnsi="黑体" w:cs="黑体"/>
          <w:sz w:val="32"/>
          <w:szCs w:val="32"/>
        </w:rPr>
      </w:pPr>
    </w:p>
    <w:sectPr w:rsidR="00DC4D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391"/>
    <w:rsid w:val="00122CE7"/>
    <w:rsid w:val="00824DE5"/>
    <w:rsid w:val="00DC4DC4"/>
    <w:rsid w:val="00FF1391"/>
    <w:rsid w:val="5DAE6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301C868-65FD-49B8-A1D3-A9BDCAFD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ame1">
    <w:name w:val="name1"/>
    <w:rsid w:val="00DC4DC4"/>
    <w:rPr>
      <w:rFonts w:ascii="宋体" w:eastAsia="宋体" w:hAnsi="宋体" w:hint="eastAsia"/>
      <w:i w:val="0"/>
      <w:iCs w:val="0"/>
      <w:strike w:val="0"/>
      <w:dstrike w:val="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fb0218</cp:lastModifiedBy>
  <cp:revision>2</cp:revision>
  <dcterms:created xsi:type="dcterms:W3CDTF">2022-05-07T06:33:00Z</dcterms:created>
  <dcterms:modified xsi:type="dcterms:W3CDTF">2022-05-07T06:33:00Z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